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b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 xml:space="preserve">1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  <w:t>江西省科技计划项目申报流程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项目申报人应认真阅读申报通知和指南的要求，审慎选择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拟申报的项目类别，在线填写提交申报材料以及项目申报要求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的证明材料。一经受理，项目类别不予调整。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3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81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步骤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申报单位用户注册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步骤 2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申报单位设置盖章方式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步骤 3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申报单位签订诚信承诺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步骤 4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申报单位添加本单位申报人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步骤 5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申报人签订诚信承诺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步骤 6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申报人向申报单位提交项目申请书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步骤 7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申报单位审核项目申请书、在线盖章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步骤 8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主管部门审核项目申请书、在线盖章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步骤 9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推荐单位审核项目申请书、在线盖章（主管部门和推荐单位为同一单位的，由步骤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8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直接到步骤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步骤 10</w:t>
            </w:r>
          </w:p>
        </w:tc>
        <w:tc>
          <w:tcPr>
            <w:tcW w:w="7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项目受理中心受理项目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21B6F"/>
    <w:rsid w:val="781449E3"/>
    <w:rsid w:val="FE7DF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2021-02-01T10:18:35Z</dcterms:created>
  <dc:creator>leizhen</dc:creator>
  <cp:lastModifiedBy>test</cp:lastModifiedBy>
  <dcterms:modified xsi:type="dcterms:W3CDTF">2022-01-06T10:33:09Z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